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A4E075" w14:textId="77777777" w:rsidR="008C0C85" w:rsidRPr="00A16387" w:rsidRDefault="008C0C85" w:rsidP="008C0C85">
      <w:pPr>
        <w:ind w:left="-426"/>
        <w:jc w:val="center"/>
        <w:rPr>
          <w:rFonts w:asciiTheme="minorHAnsi" w:hAnsiTheme="minorHAnsi" w:cstheme="minorHAnsi"/>
          <w:b/>
          <w:sz w:val="28"/>
        </w:rPr>
      </w:pPr>
      <w:r w:rsidRPr="00A16387">
        <w:rPr>
          <w:rFonts w:asciiTheme="minorHAnsi" w:hAnsiTheme="minorHAnsi" w:cstheme="minorHAnsi"/>
          <w:b/>
          <w:sz w:val="28"/>
        </w:rPr>
        <w:t>Špecifikácia rozsahu oprávnenej aktivity a oprávnených výdavkov</w:t>
      </w:r>
    </w:p>
    <w:p w14:paraId="1689B806" w14:textId="77777777" w:rsidR="007900C1" w:rsidRPr="00A16387" w:rsidRDefault="007900C1" w:rsidP="007900C1">
      <w:pPr>
        <w:ind w:left="-426"/>
        <w:jc w:val="both"/>
        <w:rPr>
          <w:rFonts w:asciiTheme="minorHAnsi" w:hAnsiTheme="minorHAnsi" w:cstheme="minorHAnsi"/>
        </w:rPr>
      </w:pPr>
    </w:p>
    <w:p w14:paraId="3C658BF5" w14:textId="77777777" w:rsidR="00D80A8E" w:rsidRPr="00A16387" w:rsidRDefault="00D80A8E" w:rsidP="007900C1">
      <w:pPr>
        <w:ind w:left="-426"/>
        <w:jc w:val="both"/>
        <w:rPr>
          <w:rFonts w:asciiTheme="minorHAnsi" w:hAnsiTheme="minorHAnsi" w:cstheme="minorHAnsi"/>
        </w:rPr>
      </w:pPr>
    </w:p>
    <w:tbl>
      <w:tblPr>
        <w:tblStyle w:val="Mriekatabuky"/>
        <w:tblW w:w="14601" w:type="dxa"/>
        <w:tblInd w:w="-289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4601"/>
      </w:tblGrid>
      <w:tr w:rsidR="007A1D28" w:rsidRPr="00A16387" w14:paraId="4003EEEE" w14:textId="77777777" w:rsidTr="00773273">
        <w:tc>
          <w:tcPr>
            <w:tcW w:w="14601" w:type="dxa"/>
            <w:shd w:val="clear" w:color="auto" w:fill="A6A6A6" w:themeFill="background1" w:themeFillShade="A6"/>
          </w:tcPr>
          <w:p w14:paraId="1EB6FE50" w14:textId="77777777" w:rsidR="007A1D28" w:rsidRPr="00A16387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A16387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Upozornenie:</w:t>
            </w:r>
          </w:p>
          <w:p w14:paraId="580DAB0D" w14:textId="77777777" w:rsidR="007A1D28" w:rsidRPr="00A16387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A1638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Oprávnené sú iba tie </w:t>
            </w:r>
            <w:r w:rsidRPr="00A16387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výdavky, ktoré sú nevyhnutné</w:t>
            </w:r>
            <w:r w:rsidRPr="00A1638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pre realizáciu a dosiahnutie cieľov projektu.</w:t>
            </w:r>
          </w:p>
          <w:p w14:paraId="73262991" w14:textId="77777777" w:rsidR="007A1D28" w:rsidRPr="00A16387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A1638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Daň z pridanej hodnoty (ďalej len „DPH“) sa považuje za neoprávnený výdavok v prípade, ak:</w:t>
            </w:r>
          </w:p>
          <w:p w14:paraId="461FC079" w14:textId="3A4EB34C" w:rsidR="007A1D28" w:rsidRPr="00A16387" w:rsidRDefault="00114544" w:rsidP="00773273">
            <w:pPr>
              <w:pStyle w:val="Odsekzoznamu"/>
              <w:numPr>
                <w:ilvl w:val="0"/>
                <w:numId w:val="4"/>
              </w:numPr>
              <w:ind w:left="606" w:right="85" w:hanging="357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</w:pPr>
            <w:r w:rsidRPr="00A16387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žiadateľ</w:t>
            </w:r>
            <w:r w:rsidR="007A1D28" w:rsidRPr="00A16387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 xml:space="preserve"> má nárok na vrátanie (odpočet) DPH za nadobudnutý a/alebo zhodnotený majetok, ktorý je financovaný z príspevku;</w:t>
            </w:r>
          </w:p>
          <w:p w14:paraId="4B27C95C" w14:textId="78413E14" w:rsidR="007A1D28" w:rsidRPr="00A16387" w:rsidRDefault="007A1D28" w:rsidP="00773273">
            <w:pPr>
              <w:pStyle w:val="Odsekzoznamu"/>
              <w:numPr>
                <w:ilvl w:val="0"/>
                <w:numId w:val="4"/>
              </w:numPr>
              <w:ind w:left="606" w:right="85" w:hanging="357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</w:pPr>
            <w:r w:rsidRPr="00A16387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z prevádzkovania majetku nadobudnutého a/alebo zhodnoteného z poskytnutého príspevku plynú akékoľvek príjmy z ekonomickej činnosti, pričom na</w:t>
            </w:r>
            <w:r w:rsidR="009A1FA7" w:rsidRPr="00A16387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 </w:t>
            </w:r>
            <w:r w:rsidRPr="00A16387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účely tejto činnosti sa prevádzkovateľ tohto majetku stáva zdaniteľnou osobou podľa § 3 zákona o DPH</w:t>
            </w:r>
            <w:r w:rsidRPr="00A16387">
              <w:rPr>
                <w:rFonts w:asciiTheme="minorHAnsi" w:hAnsiTheme="minorHAnsi" w:cstheme="minorHAnsi"/>
                <w:szCs w:val="22"/>
                <w:vertAlign w:val="superscript"/>
                <w:lang w:val="sk-SK"/>
              </w:rPr>
              <w:footnoteReference w:id="1"/>
            </w:r>
            <w:r w:rsidRPr="00A16387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 xml:space="preserve">. </w:t>
            </w:r>
          </w:p>
          <w:p w14:paraId="50649B5F" w14:textId="77777777" w:rsidR="007A1D28" w:rsidRPr="00A16387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3EA97A42" w14:textId="25EB3785" w:rsidR="007A1D28" w:rsidRPr="00A16387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A1638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Výdavky, obstarávané dodávateľským spôsobom, na ktorých obstaranie sa vzťahujú pravidlá verejného obstarávania, musia byť obstarané v súlade so zákonom o</w:t>
            </w:r>
            <w:r w:rsidR="009A1FA7" w:rsidRPr="00A1638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 </w:t>
            </w:r>
            <w:r w:rsidRPr="00A1638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verejnom obstarávaní a usmerneniami RO pre IROP k procesom verejného obstarávania.</w:t>
            </w:r>
          </w:p>
          <w:p w14:paraId="278BFA09" w14:textId="3A47F23B" w:rsidR="00D41226" w:rsidRPr="00A16387" w:rsidRDefault="001F08C9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b/>
                <w:bCs/>
                <w:lang w:val="sk-SK"/>
              </w:rPr>
            </w:pPr>
            <w:r w:rsidRPr="00A1638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Žiadateľ </w:t>
            </w:r>
            <w:r w:rsidR="007A1D28" w:rsidRPr="00A1638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je povinný zostaviť rozpočet projektu, pričom ako oprávnené výdavky si môže nárokovať len tie, ktoré spadajú do </w:t>
            </w:r>
            <w:r w:rsidR="00041EA6" w:rsidRPr="00A1638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nižšie </w:t>
            </w:r>
            <w:r w:rsidR="007A1D28" w:rsidRPr="00A1638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uvedené</w:t>
            </w:r>
            <w:r w:rsidR="000859D4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ho</w:t>
            </w:r>
            <w:r w:rsidR="007A1D28" w:rsidRPr="00A1638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definičného rámca. </w:t>
            </w:r>
            <w:r w:rsidRPr="00A1638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Žiadateľ </w:t>
            </w:r>
            <w:r w:rsidR="007A1D28" w:rsidRPr="00A1638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 rozpočte projektu vecne odôvodní, že jeho výdavky spadajú do uvedeného rámca a tiež zdôvodní ich potrebu, resp. nevyhnutnosť pre úspešnú realizáciu projektu.</w:t>
            </w:r>
          </w:p>
        </w:tc>
      </w:tr>
    </w:tbl>
    <w:p w14:paraId="71F1FB1F" w14:textId="46A148E4" w:rsidR="007900C1" w:rsidRPr="00A16387" w:rsidRDefault="007900C1" w:rsidP="007900C1">
      <w:pPr>
        <w:ind w:left="-426"/>
        <w:jc w:val="both"/>
        <w:rPr>
          <w:rFonts w:asciiTheme="minorHAnsi" w:hAnsiTheme="minorHAnsi" w:cstheme="minorHAnsi"/>
        </w:rPr>
      </w:pPr>
    </w:p>
    <w:p w14:paraId="23534D1B" w14:textId="77777777" w:rsidR="00A16387" w:rsidRPr="00A16387" w:rsidRDefault="00A16387" w:rsidP="007900C1">
      <w:pPr>
        <w:ind w:left="-426"/>
        <w:jc w:val="both"/>
        <w:rPr>
          <w:rFonts w:asciiTheme="minorHAnsi" w:hAnsiTheme="minorHAnsi" w:cstheme="minorHAnsi"/>
        </w:rPr>
      </w:pPr>
    </w:p>
    <w:p w14:paraId="4DC1CB64" w14:textId="77777777" w:rsidR="00A16387" w:rsidRPr="00A16387" w:rsidRDefault="00A16387" w:rsidP="007900C1">
      <w:pPr>
        <w:ind w:left="-426"/>
        <w:jc w:val="both"/>
        <w:rPr>
          <w:rFonts w:asciiTheme="minorHAnsi" w:hAnsiTheme="minorHAnsi" w:cstheme="minorHAnsi"/>
        </w:rPr>
      </w:pPr>
    </w:p>
    <w:p w14:paraId="1EA49937" w14:textId="77777777" w:rsidR="00A16387" w:rsidRPr="00A16387" w:rsidRDefault="00A16387" w:rsidP="007900C1">
      <w:pPr>
        <w:ind w:left="-426"/>
        <w:jc w:val="both"/>
        <w:rPr>
          <w:rFonts w:asciiTheme="minorHAnsi" w:hAnsiTheme="minorHAnsi" w:cstheme="minorHAnsi"/>
        </w:rPr>
      </w:pPr>
    </w:p>
    <w:p w14:paraId="2B969D50" w14:textId="77777777" w:rsidR="00A16387" w:rsidRPr="00A16387" w:rsidRDefault="00A16387" w:rsidP="007900C1">
      <w:pPr>
        <w:ind w:left="-426"/>
        <w:jc w:val="both"/>
        <w:rPr>
          <w:rFonts w:asciiTheme="minorHAnsi" w:hAnsiTheme="minorHAnsi" w:cstheme="minorHAnsi"/>
        </w:rPr>
      </w:pPr>
    </w:p>
    <w:p w14:paraId="4C1DC0BB" w14:textId="77777777" w:rsidR="00A16387" w:rsidRPr="00A16387" w:rsidRDefault="00A16387" w:rsidP="007900C1">
      <w:pPr>
        <w:ind w:left="-426"/>
        <w:jc w:val="both"/>
        <w:rPr>
          <w:rFonts w:asciiTheme="minorHAnsi" w:hAnsiTheme="minorHAnsi" w:cstheme="minorHAnsi"/>
        </w:rPr>
      </w:pPr>
    </w:p>
    <w:p w14:paraId="2C77A864" w14:textId="77777777" w:rsidR="00A16387" w:rsidRPr="00A16387" w:rsidRDefault="00A16387" w:rsidP="007900C1">
      <w:pPr>
        <w:ind w:left="-426"/>
        <w:jc w:val="both"/>
        <w:rPr>
          <w:rFonts w:asciiTheme="minorHAnsi" w:hAnsiTheme="minorHAnsi" w:cstheme="minorHAnsi"/>
        </w:rPr>
      </w:pPr>
    </w:p>
    <w:p w14:paraId="0583D1BC" w14:textId="77777777" w:rsidR="00A16387" w:rsidRPr="00A16387" w:rsidRDefault="00A16387" w:rsidP="007900C1">
      <w:pPr>
        <w:ind w:left="-426"/>
        <w:jc w:val="both"/>
        <w:rPr>
          <w:rFonts w:asciiTheme="minorHAnsi" w:hAnsiTheme="minorHAnsi" w:cstheme="minorHAnsi"/>
        </w:rPr>
      </w:pPr>
    </w:p>
    <w:p w14:paraId="2D11BEC3" w14:textId="77777777" w:rsidR="00A16387" w:rsidRPr="00A16387" w:rsidRDefault="00A16387" w:rsidP="007900C1">
      <w:pPr>
        <w:ind w:left="-426"/>
        <w:jc w:val="both"/>
        <w:rPr>
          <w:rFonts w:asciiTheme="minorHAnsi" w:hAnsiTheme="minorHAnsi" w:cstheme="minorHAnsi"/>
        </w:rPr>
      </w:pPr>
    </w:p>
    <w:p w14:paraId="1CD011CA" w14:textId="77777777" w:rsidR="00A16387" w:rsidRPr="00A16387" w:rsidRDefault="00A16387" w:rsidP="007900C1">
      <w:pPr>
        <w:ind w:left="-426"/>
        <w:jc w:val="both"/>
        <w:rPr>
          <w:rFonts w:asciiTheme="minorHAnsi" w:hAnsiTheme="minorHAnsi" w:cstheme="minorHAnsi"/>
        </w:rPr>
      </w:pPr>
    </w:p>
    <w:p w14:paraId="754728C7" w14:textId="77777777" w:rsidR="00A16387" w:rsidRPr="00A16387" w:rsidRDefault="00A16387" w:rsidP="007900C1">
      <w:pPr>
        <w:ind w:left="-426"/>
        <w:jc w:val="both"/>
        <w:rPr>
          <w:rFonts w:asciiTheme="minorHAnsi" w:hAnsiTheme="minorHAnsi" w:cstheme="minorHAnsi"/>
        </w:rPr>
      </w:pPr>
    </w:p>
    <w:p w14:paraId="45F4558D" w14:textId="77777777" w:rsidR="00A16387" w:rsidRPr="00A16387" w:rsidRDefault="00A16387" w:rsidP="007900C1">
      <w:pPr>
        <w:ind w:left="-426"/>
        <w:jc w:val="both"/>
        <w:rPr>
          <w:rFonts w:asciiTheme="minorHAnsi" w:hAnsiTheme="minorHAnsi" w:cstheme="minorHAnsi"/>
        </w:rPr>
      </w:pPr>
    </w:p>
    <w:p w14:paraId="4982D46B" w14:textId="77777777" w:rsidR="00A16387" w:rsidRPr="00A16387" w:rsidRDefault="00A16387" w:rsidP="007900C1">
      <w:pPr>
        <w:ind w:left="-426"/>
        <w:jc w:val="both"/>
        <w:rPr>
          <w:rFonts w:asciiTheme="minorHAnsi" w:hAnsiTheme="minorHAnsi" w:cstheme="minorHAnsi"/>
        </w:rPr>
      </w:pPr>
    </w:p>
    <w:p w14:paraId="3B1BF0AD" w14:textId="77777777" w:rsidR="00A16387" w:rsidRPr="00A16387" w:rsidRDefault="00A16387" w:rsidP="007900C1">
      <w:pPr>
        <w:ind w:left="-426"/>
        <w:jc w:val="both"/>
        <w:rPr>
          <w:rFonts w:asciiTheme="minorHAnsi" w:hAnsiTheme="minorHAnsi" w:cstheme="minorHAnsi"/>
        </w:rPr>
      </w:pPr>
    </w:p>
    <w:tbl>
      <w:tblPr>
        <w:tblStyle w:val="Deloittetable21"/>
        <w:tblW w:w="14710" w:type="dxa"/>
        <w:tblInd w:w="-398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6063"/>
        <w:gridCol w:w="8647"/>
      </w:tblGrid>
      <w:tr w:rsidR="00856D01" w:rsidRPr="00A16387" w14:paraId="6687515A" w14:textId="77777777" w:rsidTr="001145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0FEBDCEE" w14:textId="77777777" w:rsidR="00856D01" w:rsidRPr="00A16387" w:rsidRDefault="00856D01" w:rsidP="00773273">
            <w:pPr>
              <w:spacing w:before="40" w:after="40"/>
              <w:ind w:left="85" w:right="8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A16387">
              <w:rPr>
                <w:rFonts w:asciiTheme="minorHAnsi" w:hAnsiTheme="minorHAnsi" w:cstheme="minorHAnsi"/>
                <w:color w:val="FFFFFF" w:themeColor="background1"/>
                <w:lang w:val="sk-SK"/>
              </w:rPr>
              <w:lastRenderedPageBreak/>
              <w:t>Špecifický cieľ 5.1.1 - Zvýšenie zamestnanosti na miestnej úrovni podporou podnikania a inovácii</w:t>
            </w:r>
          </w:p>
        </w:tc>
      </w:tr>
      <w:tr w:rsidR="00856D01" w:rsidRPr="00A16387" w14:paraId="36EEBD7D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7048E10E" w14:textId="77777777" w:rsidR="00856D01" w:rsidRPr="00A16387" w:rsidRDefault="00856D01" w:rsidP="00773273">
            <w:pPr>
              <w:spacing w:before="40" w:after="40"/>
              <w:ind w:left="927" w:right="85" w:hanging="842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A16387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Aktivita: </w:t>
            </w:r>
            <w:r w:rsidRPr="00A16387">
              <w:rPr>
                <w:rFonts w:asciiTheme="minorHAnsi" w:hAnsiTheme="minorHAnsi" w:cstheme="minorHAnsi"/>
                <w:color w:val="FFFFFF" w:themeColor="background1"/>
                <w:lang w:val="sk-SK"/>
              </w:rPr>
              <w:tab/>
              <w:t xml:space="preserve">A. Zakladanie nových a podpora existujúcich </w:t>
            </w:r>
            <w:proofErr w:type="spellStart"/>
            <w:r w:rsidRPr="00A16387">
              <w:rPr>
                <w:rFonts w:asciiTheme="minorHAnsi" w:hAnsiTheme="minorHAnsi" w:cstheme="minorHAnsi"/>
                <w:color w:val="FFFFFF" w:themeColor="background1"/>
                <w:lang w:val="sk-SK"/>
              </w:rPr>
              <w:t>mikro</w:t>
            </w:r>
            <w:proofErr w:type="spellEnd"/>
            <w:r w:rsidRPr="00A16387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 a malých podnikov, samostatne  zárobkovo činných osôb, družstiev</w:t>
            </w:r>
          </w:p>
        </w:tc>
      </w:tr>
      <w:tr w:rsidR="00856D01" w:rsidRPr="00A16387" w14:paraId="09BA852B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7FE8315C" w14:textId="77777777" w:rsidR="00856D01" w:rsidRPr="00A16387" w:rsidRDefault="00856D01" w:rsidP="00773273">
            <w:pPr>
              <w:spacing w:before="40" w:after="40"/>
              <w:ind w:left="85" w:right="8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A16387">
              <w:rPr>
                <w:rFonts w:asciiTheme="minorHAnsi" w:hAnsiTheme="minorHAnsi" w:cstheme="minorHAnsi"/>
                <w:color w:val="FFFFFF" w:themeColor="background1"/>
                <w:lang w:val="sk-SK"/>
              </w:rPr>
              <w:t>A1 Podpora podnikania a inovácií</w:t>
            </w:r>
          </w:p>
        </w:tc>
      </w:tr>
      <w:tr w:rsidR="00856D01" w:rsidRPr="00A16387" w14:paraId="05775FB3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53938814" w14:textId="5549EB8F" w:rsidR="00856D01" w:rsidRPr="00A16387" w:rsidRDefault="00856D01" w:rsidP="00773273">
            <w:pPr>
              <w:spacing w:before="40" w:after="40"/>
              <w:ind w:left="8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A16387">
              <w:rPr>
                <w:rFonts w:asciiTheme="minorHAnsi" w:hAnsiTheme="minorHAnsi" w:cstheme="minorHAnsi"/>
                <w:color w:val="FFFFFF" w:themeColor="background1"/>
                <w:lang w:val="sk-SK"/>
              </w:rPr>
              <w:t>Popis oprávnenej aktivity:</w:t>
            </w:r>
          </w:p>
          <w:p w14:paraId="5DD84FB7" w14:textId="575298E2" w:rsidR="00856D01" w:rsidRPr="00A16387" w:rsidRDefault="00856D01" w:rsidP="00773273">
            <w:pPr>
              <w:pStyle w:val="Odsekzoznamu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A16387">
              <w:rPr>
                <w:rFonts w:asciiTheme="minorHAnsi" w:hAnsiTheme="minorHAnsi" w:cstheme="minorHAnsi"/>
                <w:color w:val="FFFFFF" w:themeColor="background1"/>
                <w:lang w:val="sk-SK"/>
              </w:rPr>
              <w:t>obstaranie hmotného majetku pre účely tvorby pracovných miest,</w:t>
            </w:r>
          </w:p>
          <w:p w14:paraId="4E770143" w14:textId="5D8FB4C5" w:rsidR="00856D01" w:rsidRPr="00A16387" w:rsidRDefault="00856D01" w:rsidP="00773273">
            <w:pPr>
              <w:pStyle w:val="Odsekzoznamu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A16387">
              <w:rPr>
                <w:rFonts w:asciiTheme="minorHAnsi" w:hAnsiTheme="minorHAnsi" w:cstheme="minorHAnsi"/>
                <w:color w:val="FFFFFF" w:themeColor="background1"/>
                <w:lang w:val="sk-SK"/>
              </w:rPr>
              <w:t>nutné stavebnotechnické úpravy budov spojené s umiestnením obstaranej technológie a/alebo s poskytovaním nových služieb,</w:t>
            </w:r>
          </w:p>
          <w:p w14:paraId="467842C1" w14:textId="2204C866" w:rsidR="00856D01" w:rsidRPr="00A16387" w:rsidRDefault="00856D01" w:rsidP="00773273">
            <w:pPr>
              <w:pStyle w:val="Odsekzoznamu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A16387">
              <w:rPr>
                <w:rFonts w:asciiTheme="minorHAnsi" w:hAnsiTheme="minorHAnsi" w:cstheme="minorHAnsi"/>
                <w:color w:val="FFFFFF" w:themeColor="background1"/>
                <w:lang w:val="sk-SK"/>
              </w:rPr>
              <w:t>podpora marketingových aktivít,</w:t>
            </w:r>
          </w:p>
          <w:p w14:paraId="06F7F16F" w14:textId="119B4164" w:rsidR="000950EA" w:rsidRPr="00A16387" w:rsidRDefault="00856D01" w:rsidP="00773273">
            <w:pPr>
              <w:pStyle w:val="Odsekzoznamu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A16387">
              <w:rPr>
                <w:rFonts w:asciiTheme="minorHAnsi" w:hAnsiTheme="minorHAnsi" w:cstheme="minorHAnsi"/>
                <w:color w:val="FFFFFF" w:themeColor="background1"/>
                <w:lang w:val="sk-SK"/>
              </w:rPr>
              <w:t>podpora miestnych produkčno-spotrebiteľských reťazcov, sieťovanie na úrovni miestnej ekonomiky a výmena skúseností</w:t>
            </w:r>
            <w:r w:rsidR="000950EA" w:rsidRPr="00A16387">
              <w:rPr>
                <w:rFonts w:asciiTheme="minorHAnsi" w:hAnsiTheme="minorHAnsi" w:cstheme="minorHAnsi"/>
                <w:color w:val="FFFFFF" w:themeColor="background1"/>
                <w:lang w:val="sk-SK"/>
              </w:rPr>
              <w:t>.</w:t>
            </w:r>
          </w:p>
          <w:p w14:paraId="257A9398" w14:textId="77777777" w:rsidR="000950EA" w:rsidRPr="00A16387" w:rsidRDefault="000950EA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  <w:p w14:paraId="6A7CEAD5" w14:textId="3DAE78C4" w:rsidR="000950EA" w:rsidRPr="00A16387" w:rsidRDefault="000950EA" w:rsidP="00773273">
            <w:pPr>
              <w:ind w:left="85" w:right="8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A16387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Podpora je </w:t>
            </w:r>
            <w:r w:rsidR="00E10467" w:rsidRPr="00A16387">
              <w:rPr>
                <w:rFonts w:asciiTheme="minorHAnsi" w:hAnsiTheme="minorHAnsi" w:cstheme="minorHAnsi"/>
                <w:color w:val="FFFFFF" w:themeColor="background1"/>
                <w:lang w:val="sk-SK"/>
              </w:rPr>
              <w:t>na všetky oblasti ekonomických činností na území MAS, s </w:t>
            </w:r>
            <w:r w:rsidR="00D30727" w:rsidRPr="00A16387">
              <w:rPr>
                <w:rFonts w:asciiTheme="minorHAnsi" w:hAnsiTheme="minorHAnsi" w:cstheme="minorHAnsi"/>
                <w:color w:val="FFFFFF" w:themeColor="background1"/>
                <w:lang w:val="sk-SK"/>
              </w:rPr>
              <w:t>výnimkou</w:t>
            </w:r>
            <w:r w:rsidR="00E10467" w:rsidRPr="00A16387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 nasledovných (</w:t>
            </w:r>
            <w:r w:rsidRPr="00A16387">
              <w:rPr>
                <w:rFonts w:asciiTheme="minorHAnsi" w:hAnsiTheme="minorHAnsi" w:cstheme="minorHAnsi"/>
                <w:color w:val="FFFFFF" w:themeColor="background1"/>
                <w:lang w:val="sk-SK"/>
              </w:rPr>
              <w:t>definovan</w:t>
            </w:r>
            <w:r w:rsidR="00E10467" w:rsidRPr="00A16387">
              <w:rPr>
                <w:rFonts w:asciiTheme="minorHAnsi" w:hAnsiTheme="minorHAnsi" w:cstheme="minorHAnsi"/>
                <w:color w:val="FFFFFF" w:themeColor="background1"/>
                <w:lang w:val="sk-SK"/>
              </w:rPr>
              <w:t>ých</w:t>
            </w:r>
            <w:r w:rsidRPr="00A16387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 podľa štatistickej klasifikácie SK NACE, rev. 2):</w:t>
            </w:r>
          </w:p>
          <w:p w14:paraId="28EC4F59" w14:textId="6B6B5E63" w:rsidR="00F64E2F" w:rsidRPr="00A16387" w:rsidRDefault="00F64E2F" w:rsidP="00E10467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  <w:p w14:paraId="2B3B0B0E" w14:textId="77777777" w:rsidR="00F64E2F" w:rsidRPr="00A16387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A16387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A – Poľnohospodárstvo, lesníctvo a rybolov – celá sekcia neoprávnená</w:t>
            </w:r>
          </w:p>
          <w:p w14:paraId="1323D468" w14:textId="77777777" w:rsidR="00F64E2F" w:rsidRPr="00A16387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A16387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B – Ťažba a dobývanie – neoprávnené sú nasledovné divízie</w:t>
            </w:r>
          </w:p>
          <w:p w14:paraId="609855B9" w14:textId="77777777" w:rsidR="00F64E2F" w:rsidRPr="00A16387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A16387">
              <w:rPr>
                <w:rFonts w:asciiTheme="minorHAnsi" w:hAnsiTheme="minorHAnsi" w:cstheme="minorHAnsi"/>
                <w:color w:val="FFFFFF" w:themeColor="background1"/>
                <w:lang w:val="sk-SK"/>
              </w:rPr>
              <w:t>Divízia 05 – Ťažba uhlia a lignitu</w:t>
            </w:r>
          </w:p>
          <w:p w14:paraId="4F1D8009" w14:textId="77777777" w:rsidR="00F64E2F" w:rsidRPr="00A16387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A16387">
              <w:rPr>
                <w:rFonts w:asciiTheme="minorHAnsi" w:hAnsiTheme="minorHAnsi" w:cstheme="minorHAnsi"/>
                <w:color w:val="FFFFFF" w:themeColor="background1"/>
                <w:lang w:val="sk-SK"/>
              </w:rPr>
              <w:t>Divízia 06 – Ťažba ropy a zemného plynu</w:t>
            </w:r>
          </w:p>
          <w:p w14:paraId="39C5AD57" w14:textId="77777777" w:rsidR="00F64E2F" w:rsidRPr="00A16387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A16387">
              <w:rPr>
                <w:rFonts w:asciiTheme="minorHAnsi" w:hAnsiTheme="minorHAnsi" w:cstheme="minorHAnsi"/>
                <w:color w:val="FFFFFF" w:themeColor="background1"/>
                <w:lang w:val="sk-SK"/>
              </w:rPr>
              <w:t>Divízia 07 – Dobývanie kovových rúd</w:t>
            </w:r>
          </w:p>
          <w:p w14:paraId="6F97B4CD" w14:textId="77777777" w:rsidR="00F64E2F" w:rsidRPr="00A16387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A16387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C – Priemyselná výroba – neoprávnené sú nasledovné divízie</w:t>
            </w:r>
          </w:p>
          <w:p w14:paraId="68EB0524" w14:textId="483C4726" w:rsidR="00F64E2F" w:rsidRPr="00A16387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A16387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Divízia 12 – Výroba tabakových </w:t>
            </w:r>
            <w:r w:rsidR="00985014" w:rsidRPr="00A16387">
              <w:rPr>
                <w:rFonts w:asciiTheme="minorHAnsi" w:hAnsiTheme="minorHAnsi" w:cstheme="minorHAnsi"/>
                <w:color w:val="FFFFFF" w:themeColor="background1"/>
                <w:lang w:val="sk-SK"/>
              </w:rPr>
              <w:t>výrobkov</w:t>
            </w:r>
          </w:p>
          <w:p w14:paraId="1B313622" w14:textId="77777777" w:rsidR="00F64E2F" w:rsidRPr="00A16387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A16387">
              <w:rPr>
                <w:rFonts w:asciiTheme="minorHAnsi" w:hAnsiTheme="minorHAnsi" w:cstheme="minorHAnsi"/>
                <w:color w:val="FFFFFF" w:themeColor="background1"/>
                <w:lang w:val="sk-SK"/>
              </w:rPr>
              <w:t>Divízia 19 – Výroba koksu a rafinovaných ropných produktov</w:t>
            </w:r>
          </w:p>
          <w:p w14:paraId="49F67A16" w14:textId="77777777" w:rsidR="00F64E2F" w:rsidRPr="00A16387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A16387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 xml:space="preserve"> </w:t>
            </w:r>
          </w:p>
          <w:p w14:paraId="0FB67FA1" w14:textId="3F70E6BD" w:rsidR="00F64E2F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</w:pPr>
            <w:r w:rsidRPr="00A16387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D – Dodávka elektriny, plynu, pary a studeného vzduchu – celá sekcia neoprávnená</w:t>
            </w:r>
          </w:p>
          <w:p w14:paraId="0D84940D" w14:textId="77777777" w:rsidR="00F64E2F" w:rsidRPr="00A16387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A16387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K – Finančné a poisťovacie činnosti – celá sekcia neoprávnená</w:t>
            </w:r>
          </w:p>
          <w:p w14:paraId="32307404" w14:textId="77777777" w:rsidR="00F64E2F" w:rsidRPr="00A16387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A16387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L – Činnosti v oblasti nehnuteľností – celá sekcia neoprávnená</w:t>
            </w:r>
          </w:p>
          <w:p w14:paraId="07DF8743" w14:textId="77777777" w:rsidR="00F64E2F" w:rsidRPr="00A16387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A16387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O – Verejná správa a obrana, povinné sociálne zabezpečenie – celá sekcia neoprávnená</w:t>
            </w:r>
          </w:p>
          <w:p w14:paraId="2554C598" w14:textId="77777777" w:rsidR="00F64E2F" w:rsidRPr="00A16387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A16387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R – Umenie, zábava a rekreácia – neoprávnené sú nasledovné divízie</w:t>
            </w:r>
          </w:p>
          <w:p w14:paraId="402D3129" w14:textId="77777777" w:rsidR="00F64E2F" w:rsidRPr="00A16387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A16387">
              <w:rPr>
                <w:rFonts w:asciiTheme="minorHAnsi" w:hAnsiTheme="minorHAnsi" w:cstheme="minorHAnsi"/>
                <w:color w:val="FFFFFF" w:themeColor="background1"/>
                <w:lang w:val="sk-SK"/>
              </w:rPr>
              <w:t>Divízia 92 – Činnosti herní a stávkových kancelárií</w:t>
            </w:r>
          </w:p>
          <w:p w14:paraId="20C3BCAD" w14:textId="77777777" w:rsidR="00F64E2F" w:rsidRPr="00A16387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A16387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S – Ostatné činnosti – neoprávnené sú nasledovné divízie</w:t>
            </w:r>
          </w:p>
          <w:p w14:paraId="1029F6F7" w14:textId="77777777" w:rsidR="00F64E2F" w:rsidRPr="00A16387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A16387">
              <w:rPr>
                <w:rFonts w:asciiTheme="minorHAnsi" w:hAnsiTheme="minorHAnsi" w:cstheme="minorHAnsi"/>
                <w:color w:val="FFFFFF" w:themeColor="background1"/>
                <w:lang w:val="sk-SK"/>
              </w:rPr>
              <w:t>Divízia 94 – Činnosti členských organizácií</w:t>
            </w:r>
          </w:p>
          <w:p w14:paraId="34F42B76" w14:textId="77777777" w:rsidR="00F64E2F" w:rsidRPr="00A16387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A16387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T – Činnosti domácností ako zamestnávateľov, nediferencované činnosti v domácnosti produkujúce tovary a služby na vlastné použitie</w:t>
            </w:r>
          </w:p>
          <w:p w14:paraId="16341D85" w14:textId="77777777" w:rsidR="00F64E2F" w:rsidRPr="00A16387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A16387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 xml:space="preserve">Sekcia U – Činnosti </w:t>
            </w:r>
            <w:proofErr w:type="spellStart"/>
            <w:r w:rsidRPr="00A16387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extrateritoriálnych</w:t>
            </w:r>
            <w:proofErr w:type="spellEnd"/>
            <w:r w:rsidRPr="00A16387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 xml:space="preserve"> organizácií a združení – celá sekcia neoprávnená</w:t>
            </w:r>
          </w:p>
          <w:p w14:paraId="1110DECC" w14:textId="77777777" w:rsidR="00F64E2F" w:rsidRPr="00A16387" w:rsidRDefault="00F64E2F" w:rsidP="00E10467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  <w:p w14:paraId="15333B28" w14:textId="77777777" w:rsidR="00D30727" w:rsidRPr="00A16387" w:rsidRDefault="00D30727" w:rsidP="00F64E2F">
            <w:pPr>
              <w:spacing w:after="40"/>
              <w:ind w:left="121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A16387">
              <w:rPr>
                <w:rFonts w:asciiTheme="minorHAnsi" w:hAnsiTheme="minorHAnsi" w:cstheme="minorHAnsi"/>
                <w:color w:val="FFFFFF" w:themeColor="background1"/>
                <w:lang w:val="sk-SK"/>
              </w:rPr>
              <w:t>Činnosť, na podporu ktorej bude projekt zameraný (teda SK NACE na úrovni projektu) nesmie spadať pod žiadnu z vyššie uvedených oblastí.</w:t>
            </w:r>
            <w:r w:rsidR="00222486" w:rsidRPr="00A16387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 </w:t>
            </w:r>
          </w:p>
          <w:p w14:paraId="61D4DAD2" w14:textId="77777777" w:rsidR="00F64E2F" w:rsidRPr="00A16387" w:rsidRDefault="00F64E2F" w:rsidP="00F64E2F">
            <w:pPr>
              <w:spacing w:after="40"/>
              <w:ind w:left="121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  <w:p w14:paraId="70E1670B" w14:textId="56D630E1" w:rsidR="00F64E2F" w:rsidRPr="00A16387" w:rsidRDefault="00F64E2F" w:rsidP="00F64E2F">
            <w:pPr>
              <w:spacing w:after="40"/>
              <w:ind w:left="121"/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</w:pPr>
            <w:r w:rsidRPr="00A16387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Z podpory sú vylúčené nasledovné subjekty: </w:t>
            </w:r>
            <w:r w:rsidRPr="00A16387"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>subjekty pôsobiace v oblasti poľnohospodárskej prvovýroby</w:t>
            </w:r>
          </w:p>
          <w:p w14:paraId="43247355" w14:textId="06CD1348" w:rsidR="00045FEB" w:rsidRDefault="00F64E2F" w:rsidP="00045FEB">
            <w:pPr>
              <w:spacing w:after="40"/>
              <w:ind w:left="121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A16387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Z podpory sú vylúčené nasledovné oblasti investícií: </w:t>
            </w:r>
            <w:r w:rsidRPr="00A16387"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>oblasť lesníctva, rybolovu a</w:t>
            </w:r>
            <w:r w:rsidR="0003218D"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> </w:t>
            </w:r>
            <w:proofErr w:type="spellStart"/>
            <w:r w:rsidRPr="00A16387"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>akvakultúry</w:t>
            </w:r>
            <w:proofErr w:type="spellEnd"/>
            <w:r w:rsidR="0003218D"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 xml:space="preserve"> </w:t>
            </w:r>
            <w:r w:rsidR="00045FEB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a</w:t>
            </w:r>
            <w:r w:rsidR="00045FEB" w:rsidRPr="008C0C8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 </w:t>
            </w:r>
            <w:proofErr w:type="spellStart"/>
            <w:r w:rsidR="00045FEB" w:rsidRPr="008C0C8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potravinárstva</w:t>
            </w:r>
            <w:proofErr w:type="spellEnd"/>
            <w:r w:rsidR="00045FEB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 </w:t>
            </w:r>
            <w:proofErr w:type="spellStart"/>
            <w:r w:rsidR="00045FEB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poľnohospodárstva</w:t>
            </w:r>
            <w:proofErr w:type="spellEnd"/>
          </w:p>
          <w:p w14:paraId="68696835" w14:textId="77777777" w:rsidR="00045FEB" w:rsidRDefault="00045FEB" w:rsidP="00045FEB">
            <w:pPr>
              <w:spacing w:after="40"/>
              <w:ind w:left="121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  <w:p w14:paraId="2ECF9B69" w14:textId="77777777" w:rsidR="00045FEB" w:rsidRDefault="00045FEB" w:rsidP="00045FEB">
            <w:pPr>
              <w:spacing w:after="40"/>
              <w:ind w:left="121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A10FF8"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>Projekty predkladané v rámci SK NACE mimo negatívneho zoznamu ekonomických činností uvedených vyššie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 xml:space="preserve"> (t. j. </w:t>
            </w:r>
            <w:r w:rsidRPr="00A10FF8"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>ktoré sú vylúčené z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> </w:t>
            </w:r>
            <w:r w:rsidRPr="00A10FF8"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>podpory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>)</w:t>
            </w:r>
            <w:r w:rsidRPr="00A10FF8"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>, sú oprávnené len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 xml:space="preserve"> v tom prípade, ak takýto projek</w:t>
            </w:r>
            <w:r w:rsidRPr="00A10FF8"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 xml:space="preserve">t nebol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 xml:space="preserve">schválený </w:t>
            </w:r>
            <w:r w:rsidRPr="00A10FF8"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 xml:space="preserve">v rámci Stratégie CLLD,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 xml:space="preserve">časť PRV, o čom žiadateľ </w:t>
            </w:r>
            <w:r w:rsidRPr="00A10FF8"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>predkladá samostatné čestné vyhlásenie. Vnútorné vybavenie ubytovacích zariadení je neoprávneným výdavkom.</w:t>
            </w:r>
          </w:p>
          <w:p w14:paraId="0EA5B0AC" w14:textId="6D89E308" w:rsidR="00FA4F1C" w:rsidRPr="00A16387" w:rsidRDefault="00FA4F1C" w:rsidP="0003218D">
            <w:pPr>
              <w:spacing w:after="40"/>
              <w:ind w:left="121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</w:tc>
      </w:tr>
      <w:tr w:rsidR="00856D01" w:rsidRPr="00A16387" w14:paraId="22ACB201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4F9F05C2" w14:textId="77777777" w:rsidR="00856D01" w:rsidRPr="00A16387" w:rsidRDefault="00856D01" w:rsidP="00773273">
            <w:pPr>
              <w:spacing w:before="40" w:after="40"/>
              <w:ind w:left="85" w:right="8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A16387">
              <w:rPr>
                <w:rFonts w:asciiTheme="minorHAnsi" w:hAnsiTheme="minorHAnsi" w:cstheme="minorHAnsi"/>
                <w:color w:val="FFFFFF" w:themeColor="background1"/>
                <w:lang w:val="sk-SK"/>
              </w:rPr>
              <w:t>Oprávnené výdavky</w:t>
            </w:r>
          </w:p>
        </w:tc>
      </w:tr>
      <w:tr w:rsidR="00856D01" w:rsidRPr="00A16387" w14:paraId="5B33E790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3" w:type="dxa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E7E6E6" w:themeColor="background2"/>
            </w:tcBorders>
            <w:shd w:val="clear" w:color="auto" w:fill="4F81BD"/>
          </w:tcPr>
          <w:p w14:paraId="563591A0" w14:textId="77777777" w:rsidR="00856D01" w:rsidRPr="00A16387" w:rsidRDefault="00856D01" w:rsidP="00773273">
            <w:pPr>
              <w:spacing w:before="40" w:after="40"/>
              <w:ind w:left="85" w:right="8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A16387">
              <w:rPr>
                <w:rFonts w:asciiTheme="minorHAnsi" w:hAnsiTheme="minorHAnsi" w:cstheme="minorHAnsi"/>
                <w:color w:val="FFFFFF" w:themeColor="background1"/>
                <w:lang w:val="sk-SK"/>
              </w:rPr>
              <w:t>Skupina oprávnených výdavkov</w:t>
            </w:r>
          </w:p>
        </w:tc>
        <w:tc>
          <w:tcPr>
            <w:tcW w:w="8647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4F81BD"/>
          </w:tcPr>
          <w:p w14:paraId="602088FB" w14:textId="77777777" w:rsidR="00856D01" w:rsidRPr="00A16387" w:rsidRDefault="00856D01" w:rsidP="00773273">
            <w:pPr>
              <w:spacing w:before="40" w:after="40"/>
              <w:ind w:left="8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A16387">
              <w:rPr>
                <w:rFonts w:asciiTheme="minorHAnsi" w:hAnsiTheme="minorHAnsi" w:cstheme="minorHAnsi"/>
                <w:color w:val="FFFFFF" w:themeColor="background1"/>
                <w:lang w:val="sk-SK"/>
              </w:rPr>
              <w:t>Vecný popis výdavku</w:t>
            </w:r>
          </w:p>
        </w:tc>
      </w:tr>
      <w:tr w:rsidR="00856D01" w:rsidRPr="00A16387" w14:paraId="7B4B001C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32CD9D0E" w14:textId="77777777" w:rsidR="00856D01" w:rsidRPr="00A16387" w:rsidRDefault="00856D01" w:rsidP="00773273">
            <w:pPr>
              <w:pStyle w:val="Default"/>
              <w:widowControl w:val="0"/>
              <w:ind w:left="85" w:right="85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A16387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021 - Stavebné práce vo výške obstarávacej ceny</w:t>
            </w:r>
          </w:p>
        </w:tc>
        <w:tc>
          <w:tcPr>
            <w:tcW w:w="864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0E436C82" w14:textId="20AAE7EE" w:rsidR="00224D63" w:rsidRPr="00A16387" w:rsidRDefault="00224D63" w:rsidP="00773273">
            <w:pPr>
              <w:pStyle w:val="Default"/>
              <w:widowControl w:val="0"/>
              <w:numPr>
                <w:ilvl w:val="0"/>
                <w:numId w:val="5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A16387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výstavba nových stavieb, prístavby, nadstavby</w:t>
            </w:r>
          </w:p>
          <w:p w14:paraId="150EFEA0" w14:textId="1A744774" w:rsidR="00856D01" w:rsidRPr="00A16387" w:rsidRDefault="00224D63" w:rsidP="00773273">
            <w:pPr>
              <w:pStyle w:val="Default"/>
              <w:widowControl w:val="0"/>
              <w:numPr>
                <w:ilvl w:val="0"/>
                <w:numId w:val="5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A16387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rekonštrukcia a modernizácia existujúcich stavieb</w:t>
            </w:r>
            <w:r w:rsidR="00B73919" w:rsidRPr="00A16387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,</w:t>
            </w:r>
          </w:p>
        </w:tc>
      </w:tr>
      <w:tr w:rsidR="00856D01" w:rsidRPr="00A16387" w14:paraId="61FB0DF0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07503706" w14:textId="4BA65EF0" w:rsidR="00856D01" w:rsidRPr="00A16387" w:rsidRDefault="00856D01" w:rsidP="00773273">
            <w:pPr>
              <w:pStyle w:val="Default"/>
              <w:widowControl w:val="0"/>
              <w:ind w:left="85" w:right="85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A16387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022 – Samostatné hnuteľné veci a súbory hnuteľných</w:t>
            </w:r>
            <w:r w:rsidR="00B97C29" w:rsidRPr="00A16387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vecí</w:t>
            </w:r>
            <w:r w:rsidRPr="00A16387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vo výške obstarávacej ceny</w:t>
            </w:r>
          </w:p>
        </w:tc>
        <w:tc>
          <w:tcPr>
            <w:tcW w:w="864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2B5B969B" w14:textId="27D31B9D" w:rsidR="00856D01" w:rsidRPr="00A16387" w:rsidRDefault="00856D01" w:rsidP="00773273">
            <w:pPr>
              <w:pStyle w:val="Default"/>
              <w:widowControl w:val="0"/>
              <w:numPr>
                <w:ilvl w:val="0"/>
                <w:numId w:val="5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A16387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nákup prevádzkových/špeciálnych strojov, prístrojov, zariadení vrátane prvého zaškolenia obsluhy (napr. CNC stroje, brúsky, frézy a iné výrobné zariadenia)</w:t>
            </w:r>
            <w:r w:rsidR="00545CDC" w:rsidRPr="00A16387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vrátane obslužného softvéru</w:t>
            </w:r>
            <w:r w:rsidR="005265E1" w:rsidRPr="00A16387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,</w:t>
            </w:r>
            <w:r w:rsidR="00545CDC" w:rsidRPr="00A16387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ak tvorí súčasť obstarávacej ceny zariadenia</w:t>
            </w:r>
            <w:r w:rsidRPr="00A16387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,</w:t>
            </w:r>
          </w:p>
          <w:p w14:paraId="73AD7F56" w14:textId="68D71EB7" w:rsidR="00545CDC" w:rsidRPr="00A16387" w:rsidRDefault="00856D01" w:rsidP="00773273">
            <w:pPr>
              <w:pStyle w:val="Default"/>
              <w:widowControl w:val="0"/>
              <w:numPr>
                <w:ilvl w:val="0"/>
                <w:numId w:val="5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A16387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nákup technológií alebo časti technológií tvoriacich navzájom funkčný celok</w:t>
            </w:r>
            <w:r w:rsidR="00545CDC" w:rsidRPr="00A16387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vrátane obslužného softvéru</w:t>
            </w:r>
            <w:r w:rsidR="005265E1" w:rsidRPr="00A16387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,</w:t>
            </w:r>
            <w:r w:rsidR="00545CDC" w:rsidRPr="00A16387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ak tvorí súčasť obstarávacej ceny zariadenia,</w:t>
            </w:r>
          </w:p>
        </w:tc>
      </w:tr>
      <w:tr w:rsidR="00D41226" w:rsidRPr="00A16387" w14:paraId="13B16984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59E60347" w14:textId="3C236083" w:rsidR="00D41226" w:rsidRPr="00A16387" w:rsidRDefault="00D41226" w:rsidP="00773273">
            <w:pPr>
              <w:pStyle w:val="Default"/>
              <w:widowControl w:val="0"/>
              <w:ind w:left="85" w:right="85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A16387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023 – Dopravné prostriedky</w:t>
            </w:r>
          </w:p>
        </w:tc>
        <w:tc>
          <w:tcPr>
            <w:tcW w:w="864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50195299" w14:textId="77777777" w:rsidR="00D41226" w:rsidRPr="00A16387" w:rsidRDefault="00D41226" w:rsidP="00773273">
            <w:pPr>
              <w:pStyle w:val="Default"/>
              <w:widowControl w:val="0"/>
              <w:numPr>
                <w:ilvl w:val="0"/>
                <w:numId w:val="5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A16387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nákup automobilov a iných dopravných prostriedkov</w:t>
            </w:r>
          </w:p>
          <w:p w14:paraId="1DFF9CC8" w14:textId="77777777" w:rsidR="00D41226" w:rsidRPr="00A16387" w:rsidRDefault="00D41226" w:rsidP="00D41226">
            <w:pPr>
              <w:pStyle w:val="Default"/>
              <w:widowControl w:val="0"/>
              <w:ind w:left="17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</w:p>
          <w:p w14:paraId="68189FA5" w14:textId="2E7F398A" w:rsidR="00D41226" w:rsidRPr="00A16387" w:rsidRDefault="00D41226" w:rsidP="00A16387">
            <w:pPr>
              <w:pStyle w:val="Default"/>
              <w:widowControl w:val="0"/>
              <w:ind w:left="17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A16387">
              <w:rPr>
                <w:rFonts w:asciiTheme="minorHAnsi" w:hAnsiTheme="minorHAnsi" w:cstheme="minorHAnsi"/>
                <w:b/>
                <w:bCs/>
                <w:color w:val="auto"/>
                <w:sz w:val="19"/>
                <w:szCs w:val="19"/>
                <w:lang w:val="sk-SK"/>
              </w:rPr>
              <w:t xml:space="preserve">Nákup vozidiel cestnej nákladnej dopravy nie je oprávnený. </w:t>
            </w:r>
            <w:r w:rsidRPr="00A16387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Uvedené sa týka výlučne žiadateľov, ktorí pôsobia v oblasti </w:t>
            </w:r>
            <w:proofErr w:type="spellStart"/>
            <w:r w:rsidRPr="00A16387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cestenej</w:t>
            </w:r>
            <w:proofErr w:type="spellEnd"/>
            <w:r w:rsidRPr="00A16387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nákladnej dopravy. Nákup nákladného vozidla na prepravu materiálu, alebo tovaru pre účely žiadateľa, teda nie za úplatu pre tretie subjekty je oprávnený.</w:t>
            </w:r>
          </w:p>
        </w:tc>
      </w:tr>
      <w:tr w:rsidR="00856D01" w:rsidRPr="00A16387" w14:paraId="6F42A09C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7752883A" w14:textId="57022038" w:rsidR="00856D01" w:rsidRPr="00A16387" w:rsidRDefault="00856D01" w:rsidP="009D7623">
            <w:pPr>
              <w:pStyle w:val="Default"/>
              <w:widowControl w:val="0"/>
              <w:ind w:left="85" w:right="85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A16387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029 </w:t>
            </w:r>
            <w:r w:rsidR="009D7623" w:rsidRPr="00A16387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-</w:t>
            </w:r>
            <w:r w:rsidRPr="00A16387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Ostatný dlhodobý hmotný majetok vo výške obstarávacej ceny</w:t>
            </w:r>
          </w:p>
        </w:tc>
        <w:tc>
          <w:tcPr>
            <w:tcW w:w="864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34410352" w14:textId="77777777" w:rsidR="00856D01" w:rsidRPr="00A16387" w:rsidRDefault="00856D01" w:rsidP="00773273">
            <w:pPr>
              <w:pStyle w:val="Default"/>
              <w:widowControl w:val="0"/>
              <w:numPr>
                <w:ilvl w:val="0"/>
                <w:numId w:val="5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A16387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nákup prevádzkových/špeciálnych strojov, prístrojov, zariadení vrátane prvého zaškolenia obsluhy (napr. CNC stroje, brúsky, frézy a iné výrobné zariadenia),</w:t>
            </w:r>
          </w:p>
          <w:p w14:paraId="3D292A25" w14:textId="51B6B8C5" w:rsidR="00856D01" w:rsidRPr="00A16387" w:rsidRDefault="00856D01" w:rsidP="00773273">
            <w:pPr>
              <w:pStyle w:val="Default"/>
              <w:widowControl w:val="0"/>
              <w:numPr>
                <w:ilvl w:val="0"/>
                <w:numId w:val="5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A16387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nákup technológií alebo časti technológií tvoriacich navzájom funkčný celok</w:t>
            </w:r>
            <w:r w:rsidR="00B73919" w:rsidRPr="00A16387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,</w:t>
            </w:r>
          </w:p>
        </w:tc>
      </w:tr>
      <w:tr w:rsidR="00856D01" w:rsidRPr="00A16387" w14:paraId="34686288" w14:textId="77777777" w:rsidTr="00114544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6A187256" w14:textId="21C07554" w:rsidR="00856D01" w:rsidRPr="00A16387" w:rsidRDefault="00C83EF7" w:rsidP="00A16387">
            <w:pPr>
              <w:pStyle w:val="Default"/>
              <w:widowControl w:val="0"/>
              <w:ind w:left="85" w:right="85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518 - ostatné služby</w:t>
            </w:r>
          </w:p>
        </w:tc>
        <w:tc>
          <w:tcPr>
            <w:tcW w:w="864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47872D8F" w14:textId="1FC233AA" w:rsidR="005A67D1" w:rsidRPr="00A16387" w:rsidRDefault="00856D01" w:rsidP="00114544">
            <w:pPr>
              <w:pStyle w:val="Default"/>
              <w:widowControl w:val="0"/>
              <w:numPr>
                <w:ilvl w:val="0"/>
                <w:numId w:val="5"/>
              </w:numPr>
              <w:ind w:left="54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A16387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marketingové aktivity, podporujúce podnik rôznymi formami (letáky, reklamné pútače, inzercia a</w:t>
            </w:r>
            <w:r w:rsidR="00B73919" w:rsidRPr="00A16387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 </w:t>
            </w:r>
            <w:r w:rsidRPr="00A16387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pod.),</w:t>
            </w:r>
          </w:p>
          <w:p w14:paraId="3BC204F3" w14:textId="77777777" w:rsidR="005A67D1" w:rsidRPr="00A16387" w:rsidRDefault="005A67D1" w:rsidP="00884FC7">
            <w:pPr>
              <w:pStyle w:val="Default"/>
              <w:widowControl w:val="0"/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</w:p>
          <w:p w14:paraId="2FFDBDD5" w14:textId="02246C8C" w:rsidR="00856D01" w:rsidRPr="00A16387" w:rsidRDefault="005A67D1" w:rsidP="00114544">
            <w:pPr>
              <w:pStyle w:val="Default"/>
              <w:widowControl w:val="0"/>
              <w:ind w:left="54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A16387">
              <w:rPr>
                <w:rFonts w:asciiTheme="minorHAnsi" w:hAnsiTheme="minorHAnsi" w:cstheme="minorHAnsi"/>
                <w:b/>
                <w:color w:val="auto"/>
                <w:sz w:val="19"/>
                <w:szCs w:val="19"/>
                <w:lang w:val="sk-SK"/>
              </w:rPr>
              <w:t>Výdavky na marketingové aktivity</w:t>
            </w:r>
            <w:r w:rsidRPr="00A16387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</w:t>
            </w:r>
            <w:r w:rsidRPr="00A16387">
              <w:rPr>
                <w:rFonts w:asciiTheme="minorHAnsi" w:hAnsiTheme="minorHAnsi" w:cstheme="minorHAnsi"/>
                <w:b/>
                <w:color w:val="auto"/>
                <w:sz w:val="19"/>
                <w:szCs w:val="19"/>
                <w:lang w:val="sk-SK"/>
              </w:rPr>
              <w:t>sú oprávnené len v kombinácii s oprávnenými výdavkami uvedenými aspoň v rámci jednej inej skupiny výdavkov pre túto oprávnenú aktivitu a to maximálne do výšky 25% celkových oprávnených výdavkov projektu</w:t>
            </w:r>
            <w:r w:rsidR="00B73919" w:rsidRPr="00A16387">
              <w:rPr>
                <w:rFonts w:asciiTheme="minorHAnsi" w:hAnsiTheme="minorHAnsi" w:cstheme="minorHAnsi"/>
                <w:b/>
                <w:color w:val="auto"/>
                <w:sz w:val="19"/>
                <w:szCs w:val="19"/>
                <w:lang w:val="sk-SK"/>
              </w:rPr>
              <w:t>.</w:t>
            </w:r>
          </w:p>
        </w:tc>
      </w:tr>
    </w:tbl>
    <w:p w14:paraId="45BDE793" w14:textId="47C30B22" w:rsidR="00856D01" w:rsidRPr="00A16387" w:rsidRDefault="00856D01" w:rsidP="004B5802">
      <w:pPr>
        <w:rPr>
          <w:rFonts w:asciiTheme="minorHAnsi" w:hAnsiTheme="minorHAnsi" w:cstheme="minorHAnsi"/>
          <w:i/>
          <w:highlight w:val="yellow"/>
        </w:rPr>
      </w:pPr>
    </w:p>
    <w:sectPr w:rsidR="00856D01" w:rsidRPr="00A16387" w:rsidSect="00114544">
      <w:headerReference w:type="first" r:id="rId8"/>
      <w:pgSz w:w="16838" w:h="11906" w:orient="landscape"/>
      <w:pgMar w:top="1418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339D6A" w14:textId="77777777" w:rsidR="00900D50" w:rsidRDefault="00900D50" w:rsidP="007900C1">
      <w:r>
        <w:separator/>
      </w:r>
    </w:p>
  </w:endnote>
  <w:endnote w:type="continuationSeparator" w:id="0">
    <w:p w14:paraId="29053C84" w14:textId="77777777" w:rsidR="00900D50" w:rsidRDefault="00900D50" w:rsidP="00790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A04916" w14:textId="77777777" w:rsidR="00900D50" w:rsidRDefault="00900D50" w:rsidP="007900C1">
      <w:r>
        <w:separator/>
      </w:r>
    </w:p>
  </w:footnote>
  <w:footnote w:type="continuationSeparator" w:id="0">
    <w:p w14:paraId="377A3CB9" w14:textId="77777777" w:rsidR="00900D50" w:rsidRDefault="00900D50" w:rsidP="007900C1">
      <w:r>
        <w:continuationSeparator/>
      </w:r>
    </w:p>
  </w:footnote>
  <w:footnote w:id="1">
    <w:p w14:paraId="4B06EEC8" w14:textId="77777777" w:rsidR="00A76425" w:rsidRDefault="00A76425" w:rsidP="007A1D28">
      <w:pPr>
        <w:pStyle w:val="Textpoznmkypodiarou"/>
        <w:ind w:left="170" w:hanging="170"/>
        <w:jc w:val="both"/>
        <w:rPr>
          <w:rStyle w:val="Odkaznapoznmkupodiarou"/>
          <w:rFonts w:ascii="Arial Narrow" w:hAnsi="Arial Narrow"/>
          <w:szCs w:val="18"/>
        </w:rPr>
      </w:pPr>
      <w:r>
        <w:rPr>
          <w:rStyle w:val="Odkaznapoznmkupodiarou"/>
          <w:rFonts w:ascii="Arial Narrow" w:hAnsi="Arial Narrow"/>
          <w:szCs w:val="18"/>
        </w:rPr>
        <w:footnoteRef/>
      </w:r>
      <w:r>
        <w:rPr>
          <w:rStyle w:val="Odkaznapoznmkupodiarou"/>
          <w:rFonts w:ascii="Arial Narrow" w:hAnsi="Arial Narrow"/>
          <w:szCs w:val="18"/>
        </w:rPr>
        <w:t xml:space="preserve"> </w:t>
      </w:r>
      <w:r>
        <w:rPr>
          <w:rFonts w:ascii="Arial Narrow" w:hAnsi="Arial Narrow"/>
          <w:szCs w:val="18"/>
          <w:vertAlign w:val="subscript"/>
        </w:rPr>
        <w:tab/>
      </w:r>
      <w:r>
        <w:rPr>
          <w:rStyle w:val="Zvraznenie"/>
          <w:rFonts w:ascii="Arial Narrow" w:hAnsi="Arial Narrow"/>
          <w:bCs/>
          <w:szCs w:val="18"/>
          <w:shd w:val="clear" w:color="auto" w:fill="FFFFFF"/>
        </w:rPr>
        <w:t>Zákon</w:t>
      </w:r>
      <w:r>
        <w:rPr>
          <w:rStyle w:val="apple-converted-space"/>
          <w:rFonts w:ascii="Arial Narrow" w:hAnsi="Arial Narrow"/>
          <w:i/>
          <w:szCs w:val="18"/>
          <w:shd w:val="clear" w:color="auto" w:fill="FFFFFF"/>
        </w:rPr>
        <w:t> </w:t>
      </w:r>
      <w:r>
        <w:rPr>
          <w:rFonts w:ascii="Arial Narrow" w:hAnsi="Arial Narrow"/>
          <w:szCs w:val="18"/>
          <w:shd w:val="clear" w:color="auto" w:fill="FFFFFF"/>
        </w:rPr>
        <w:t>č. 222/2004 Z. z. o dani z pridanej hodnoty v znení neskorších predpisov.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089E2" w14:textId="77777777" w:rsidR="000859D4" w:rsidRDefault="000859D4" w:rsidP="000859D4">
    <w:pPr>
      <w:pStyle w:val="Hlavika"/>
      <w:rPr>
        <w:rFonts w:ascii="Arial Narrow" w:hAnsi="Arial Narrow"/>
        <w:sz w:val="20"/>
      </w:rPr>
    </w:pPr>
    <w:r>
      <w:rPr>
        <w:noProof/>
        <w:lang w:eastAsia="sk-SK"/>
      </w:rPr>
      <w:drawing>
        <wp:anchor distT="0" distB="0" distL="114300" distR="114300" simplePos="0" relativeHeight="251673600" behindDoc="1" locked="0" layoutInCell="1" allowOverlap="1" wp14:anchorId="76D3C0FA" wp14:editId="349F385F">
          <wp:simplePos x="0" y="0"/>
          <wp:positionH relativeFrom="column">
            <wp:posOffset>3476625</wp:posOffset>
          </wp:positionH>
          <wp:positionV relativeFrom="paragraph">
            <wp:posOffset>8890</wp:posOffset>
          </wp:positionV>
          <wp:extent cx="1691005" cy="390525"/>
          <wp:effectExtent l="0" t="0" r="4445" b="9525"/>
          <wp:wrapTight wrapText="bothSides">
            <wp:wrapPolygon edited="0">
              <wp:start x="0" y="0"/>
              <wp:lineTo x="0" y="13698"/>
              <wp:lineTo x="2677" y="16859"/>
              <wp:lineTo x="2677" y="21073"/>
              <wp:lineTo x="15573" y="21073"/>
              <wp:lineTo x="16303" y="16859"/>
              <wp:lineTo x="21413" y="11590"/>
              <wp:lineTo x="21413" y="6322"/>
              <wp:lineTo x="11680" y="0"/>
              <wp:lineTo x="0" y="0"/>
            </wp:wrapPolygon>
          </wp:wrapTight>
          <wp:docPr id="15" name="Obrázok 15" descr="cid:image001.png@01D6F2FC.E4E93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id:image001.png@01D6F2FC.E4E93F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00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1552" behindDoc="1" locked="0" layoutInCell="1" allowOverlap="1" wp14:anchorId="5B427099" wp14:editId="1EE6807D">
          <wp:simplePos x="0" y="0"/>
          <wp:positionH relativeFrom="column">
            <wp:posOffset>892720</wp:posOffset>
          </wp:positionH>
          <wp:positionV relativeFrom="paragraph">
            <wp:posOffset>-92075</wp:posOffset>
          </wp:positionV>
          <wp:extent cx="561975" cy="471170"/>
          <wp:effectExtent l="19050" t="0" r="9525" b="0"/>
          <wp:wrapTight wrapText="bothSides">
            <wp:wrapPolygon edited="0">
              <wp:start x="2197" y="0"/>
              <wp:lineTo x="3661" y="13973"/>
              <wp:lineTo x="-732" y="13973"/>
              <wp:lineTo x="-732" y="19213"/>
              <wp:lineTo x="5125" y="20960"/>
              <wp:lineTo x="16841" y="20960"/>
              <wp:lineTo x="21966" y="19213"/>
              <wp:lineTo x="21966" y="13973"/>
              <wp:lineTo x="18305" y="13973"/>
              <wp:lineTo x="20502" y="9606"/>
              <wp:lineTo x="19769" y="0"/>
              <wp:lineTo x="2197" y="0"/>
            </wp:wrapPolygon>
          </wp:wrapTight>
          <wp:docPr id="16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2576" behindDoc="1" locked="0" layoutInCell="1" allowOverlap="1" wp14:anchorId="0BDC0C43" wp14:editId="13CF1972">
          <wp:simplePos x="0" y="0"/>
          <wp:positionH relativeFrom="column">
            <wp:posOffset>6644253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586"/>
              <wp:lineTo x="21341" y="20586"/>
              <wp:lineTo x="21341" y="0"/>
              <wp:lineTo x="0" y="0"/>
            </wp:wrapPolygon>
          </wp:wrapTight>
          <wp:docPr id="17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sz w:val="20"/>
      </w:rPr>
      <w:tab/>
    </w:r>
    <w:r>
      <w:rPr>
        <w:rFonts w:ascii="Arial Narrow" w:hAnsi="Arial Narrow"/>
        <w:sz w:val="20"/>
      </w:rPr>
      <w:tab/>
    </w:r>
  </w:p>
  <w:p w14:paraId="32B688DC" w14:textId="77777777" w:rsidR="000859D4" w:rsidRDefault="000859D4" w:rsidP="000859D4">
    <w:pPr>
      <w:pStyle w:val="Hlavika"/>
      <w:tabs>
        <w:tab w:val="right" w:pos="14004"/>
      </w:tabs>
    </w:pPr>
  </w:p>
  <w:p w14:paraId="01C433B6" w14:textId="77777777" w:rsidR="000859D4" w:rsidRDefault="000859D4" w:rsidP="000859D4">
    <w:pPr>
      <w:pStyle w:val="Hlavika"/>
      <w:tabs>
        <w:tab w:val="right" w:pos="14004"/>
      </w:tabs>
      <w:jc w:val="left"/>
    </w:pPr>
  </w:p>
  <w:p w14:paraId="3C318979" w14:textId="0D57F0F9" w:rsidR="00A76425" w:rsidRPr="001B5DCB" w:rsidRDefault="008C0C85" w:rsidP="00437D96">
    <w:pPr>
      <w:pStyle w:val="Hlavika"/>
      <w:tabs>
        <w:tab w:val="right" w:pos="14004"/>
      </w:tabs>
    </w:pPr>
    <w:r>
      <w:t xml:space="preserve">Príloha č. 2 výzvy - </w:t>
    </w:r>
    <w:r w:rsidR="00A76425" w:rsidRPr="001B5DCB">
      <w:t xml:space="preserve">Špecifikácia </w:t>
    </w:r>
    <w:r w:rsidR="00A16387">
      <w:t xml:space="preserve">rozsahu </w:t>
    </w:r>
    <w:r w:rsidR="00A76425" w:rsidRPr="001B5DCB">
      <w:t>oprávnených aktivít a oprávnených výdavkov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D04D7"/>
    <w:multiLevelType w:val="hybridMultilevel"/>
    <w:tmpl w:val="AA7025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35CE1"/>
    <w:multiLevelType w:val="hybridMultilevel"/>
    <w:tmpl w:val="EDBE3E6E"/>
    <w:lvl w:ilvl="0" w:tplc="041B0005">
      <w:start w:val="1"/>
      <w:numFmt w:val="bullet"/>
      <w:lvlText w:val=""/>
      <w:lvlJc w:val="left"/>
      <w:pPr>
        <w:ind w:left="462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2" w15:restartNumberingAfterBreak="0">
    <w:nsid w:val="1C00522C"/>
    <w:multiLevelType w:val="hybridMultilevel"/>
    <w:tmpl w:val="F528908C"/>
    <w:lvl w:ilvl="0" w:tplc="0144DC4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1A3C02"/>
    <w:multiLevelType w:val="hybridMultilevel"/>
    <w:tmpl w:val="152C90FE"/>
    <w:lvl w:ilvl="0" w:tplc="CDBEAC6C">
      <w:numFmt w:val="bullet"/>
      <w:lvlText w:val="•"/>
      <w:lvlJc w:val="left"/>
      <w:pPr>
        <w:ind w:left="578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36FD426E"/>
    <w:multiLevelType w:val="hybridMultilevel"/>
    <w:tmpl w:val="954AE136"/>
    <w:lvl w:ilvl="0" w:tplc="D2EA1540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B64CA"/>
    <w:multiLevelType w:val="hybridMultilevel"/>
    <w:tmpl w:val="C6C275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13754F"/>
    <w:multiLevelType w:val="hybridMultilevel"/>
    <w:tmpl w:val="3DB6E6C4"/>
    <w:lvl w:ilvl="0" w:tplc="0144DC4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5DA2B37"/>
    <w:multiLevelType w:val="hybridMultilevel"/>
    <w:tmpl w:val="CE5E8FFA"/>
    <w:lvl w:ilvl="0" w:tplc="02CA6F5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144DC4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294880"/>
    <w:multiLevelType w:val="hybridMultilevel"/>
    <w:tmpl w:val="17EE5060"/>
    <w:lvl w:ilvl="0" w:tplc="02CA6F5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5"/>
  </w:num>
  <w:num w:numId="5">
    <w:abstractNumId w:val="7"/>
  </w:num>
  <w:num w:numId="6">
    <w:abstractNumId w:val="8"/>
  </w:num>
  <w:num w:numId="7">
    <w:abstractNumId w:val="6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996"/>
    <w:rsid w:val="000309C2"/>
    <w:rsid w:val="0003218D"/>
    <w:rsid w:val="00041EA6"/>
    <w:rsid w:val="00045BF4"/>
    <w:rsid w:val="00045FEB"/>
    <w:rsid w:val="00050852"/>
    <w:rsid w:val="00051444"/>
    <w:rsid w:val="00052740"/>
    <w:rsid w:val="00065996"/>
    <w:rsid w:val="000859D4"/>
    <w:rsid w:val="000867AB"/>
    <w:rsid w:val="0009378B"/>
    <w:rsid w:val="000950EA"/>
    <w:rsid w:val="000A5B92"/>
    <w:rsid w:val="000B25BD"/>
    <w:rsid w:val="000B6AAE"/>
    <w:rsid w:val="000C3C01"/>
    <w:rsid w:val="000E52FF"/>
    <w:rsid w:val="00106314"/>
    <w:rsid w:val="00113C2C"/>
    <w:rsid w:val="00114544"/>
    <w:rsid w:val="001209E6"/>
    <w:rsid w:val="001334FC"/>
    <w:rsid w:val="001663AC"/>
    <w:rsid w:val="00171151"/>
    <w:rsid w:val="001770B0"/>
    <w:rsid w:val="001A5AE2"/>
    <w:rsid w:val="001A66A4"/>
    <w:rsid w:val="001B4D56"/>
    <w:rsid w:val="001C297B"/>
    <w:rsid w:val="001F08C9"/>
    <w:rsid w:val="00222486"/>
    <w:rsid w:val="00224D63"/>
    <w:rsid w:val="00261052"/>
    <w:rsid w:val="00266626"/>
    <w:rsid w:val="00286B67"/>
    <w:rsid w:val="00290A29"/>
    <w:rsid w:val="002A4B1F"/>
    <w:rsid w:val="002B76C5"/>
    <w:rsid w:val="002D45AB"/>
    <w:rsid w:val="002F25E6"/>
    <w:rsid w:val="00301FE1"/>
    <w:rsid w:val="00341E6F"/>
    <w:rsid w:val="00350521"/>
    <w:rsid w:val="00355300"/>
    <w:rsid w:val="00365267"/>
    <w:rsid w:val="003850A7"/>
    <w:rsid w:val="003A78DE"/>
    <w:rsid w:val="003D61B8"/>
    <w:rsid w:val="003E0C5A"/>
    <w:rsid w:val="003F6B8D"/>
    <w:rsid w:val="00420279"/>
    <w:rsid w:val="004234C1"/>
    <w:rsid w:val="00437D96"/>
    <w:rsid w:val="00450EE2"/>
    <w:rsid w:val="00455F27"/>
    <w:rsid w:val="004A07A8"/>
    <w:rsid w:val="004A17A5"/>
    <w:rsid w:val="004A704B"/>
    <w:rsid w:val="004B5802"/>
    <w:rsid w:val="004B763F"/>
    <w:rsid w:val="004B7E79"/>
    <w:rsid w:val="004C49AD"/>
    <w:rsid w:val="00507295"/>
    <w:rsid w:val="005265E1"/>
    <w:rsid w:val="00545CDC"/>
    <w:rsid w:val="005A67D1"/>
    <w:rsid w:val="005E412A"/>
    <w:rsid w:val="0062228A"/>
    <w:rsid w:val="006C0D2C"/>
    <w:rsid w:val="006E0BA1"/>
    <w:rsid w:val="006E2C53"/>
    <w:rsid w:val="006F416A"/>
    <w:rsid w:val="00707EA7"/>
    <w:rsid w:val="007178B7"/>
    <w:rsid w:val="00722D6C"/>
    <w:rsid w:val="00732593"/>
    <w:rsid w:val="007708DF"/>
    <w:rsid w:val="007723AE"/>
    <w:rsid w:val="00773273"/>
    <w:rsid w:val="007900C1"/>
    <w:rsid w:val="00791038"/>
    <w:rsid w:val="00796060"/>
    <w:rsid w:val="007A1D28"/>
    <w:rsid w:val="007C283F"/>
    <w:rsid w:val="00803FE3"/>
    <w:rsid w:val="008563D7"/>
    <w:rsid w:val="00856D01"/>
    <w:rsid w:val="008756EC"/>
    <w:rsid w:val="00880DAE"/>
    <w:rsid w:val="00884FC7"/>
    <w:rsid w:val="00895F57"/>
    <w:rsid w:val="008C0C85"/>
    <w:rsid w:val="008E502C"/>
    <w:rsid w:val="00900D50"/>
    <w:rsid w:val="00910377"/>
    <w:rsid w:val="00924CB1"/>
    <w:rsid w:val="00937035"/>
    <w:rsid w:val="009662B4"/>
    <w:rsid w:val="009670EF"/>
    <w:rsid w:val="009756D1"/>
    <w:rsid w:val="00985014"/>
    <w:rsid w:val="00991D6C"/>
    <w:rsid w:val="009A1FA7"/>
    <w:rsid w:val="009A5787"/>
    <w:rsid w:val="009B0208"/>
    <w:rsid w:val="009D7016"/>
    <w:rsid w:val="009D7623"/>
    <w:rsid w:val="00A0441A"/>
    <w:rsid w:val="00A16387"/>
    <w:rsid w:val="00A55853"/>
    <w:rsid w:val="00A76425"/>
    <w:rsid w:val="00AD3328"/>
    <w:rsid w:val="00B00721"/>
    <w:rsid w:val="00B0092A"/>
    <w:rsid w:val="00B24ED0"/>
    <w:rsid w:val="00B46148"/>
    <w:rsid w:val="00B505EC"/>
    <w:rsid w:val="00B73919"/>
    <w:rsid w:val="00B7415C"/>
    <w:rsid w:val="00B97C29"/>
    <w:rsid w:val="00BA25DC"/>
    <w:rsid w:val="00BF6595"/>
    <w:rsid w:val="00C278ED"/>
    <w:rsid w:val="00C83EF7"/>
    <w:rsid w:val="00C9561F"/>
    <w:rsid w:val="00CB1901"/>
    <w:rsid w:val="00CC2386"/>
    <w:rsid w:val="00CC5DB8"/>
    <w:rsid w:val="00CD4576"/>
    <w:rsid w:val="00D26431"/>
    <w:rsid w:val="00D273DA"/>
    <w:rsid w:val="00D27547"/>
    <w:rsid w:val="00D30727"/>
    <w:rsid w:val="00D41226"/>
    <w:rsid w:val="00D4450F"/>
    <w:rsid w:val="00D73913"/>
    <w:rsid w:val="00D76D93"/>
    <w:rsid w:val="00D80A8E"/>
    <w:rsid w:val="00D91118"/>
    <w:rsid w:val="00DA2EC4"/>
    <w:rsid w:val="00DD6BA2"/>
    <w:rsid w:val="00E10467"/>
    <w:rsid w:val="00E20668"/>
    <w:rsid w:val="00E25773"/>
    <w:rsid w:val="00E64C0E"/>
    <w:rsid w:val="00ED21AB"/>
    <w:rsid w:val="00F050EA"/>
    <w:rsid w:val="00F15E37"/>
    <w:rsid w:val="00F246B5"/>
    <w:rsid w:val="00F64E2F"/>
    <w:rsid w:val="00FA1257"/>
    <w:rsid w:val="00FA4F1C"/>
    <w:rsid w:val="00FC4269"/>
    <w:rsid w:val="00FD5564"/>
    <w:rsid w:val="00FF5E6E"/>
    <w:rsid w:val="00FF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511C4"/>
  <w15:docId w15:val="{37F2E755-0F9E-4F75-A6E6-E1B7D0139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900C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7900C1"/>
    <w:pPr>
      <w:tabs>
        <w:tab w:val="right" w:pos="8222"/>
      </w:tabs>
    </w:pPr>
    <w:rPr>
      <w:sz w:val="18"/>
    </w:rPr>
  </w:style>
  <w:style w:type="character" w:customStyle="1" w:styleId="PtaChar">
    <w:name w:val="Päta Char"/>
    <w:basedOn w:val="Predvolenpsmoodseku"/>
    <w:link w:val="Pta"/>
    <w:uiPriority w:val="99"/>
    <w:rsid w:val="007900C1"/>
    <w:rPr>
      <w:rFonts w:ascii="Times New Roman" w:eastAsia="Times New Roman" w:hAnsi="Times New Roman" w:cs="Times New Roman"/>
      <w:sz w:val="18"/>
      <w:szCs w:val="20"/>
    </w:rPr>
  </w:style>
  <w:style w:type="paragraph" w:styleId="Hlavika">
    <w:name w:val="header"/>
    <w:basedOn w:val="Normlny"/>
    <w:link w:val="HlavikaChar"/>
    <w:uiPriority w:val="99"/>
    <w:rsid w:val="007900C1"/>
    <w:pPr>
      <w:spacing w:line="220" w:lineRule="atLeast"/>
      <w:jc w:val="right"/>
    </w:pPr>
    <w:rPr>
      <w:i/>
      <w:sz w:val="18"/>
    </w:rPr>
  </w:style>
  <w:style w:type="character" w:customStyle="1" w:styleId="HlavikaChar">
    <w:name w:val="Hlavička Char"/>
    <w:basedOn w:val="Predvolenpsmoodseku"/>
    <w:link w:val="Hlavika"/>
    <w:uiPriority w:val="99"/>
    <w:rsid w:val="007900C1"/>
    <w:rPr>
      <w:rFonts w:ascii="Times New Roman" w:eastAsia="Times New Roman" w:hAnsi="Times New Roman" w:cs="Times New Roman"/>
      <w:i/>
      <w:sz w:val="18"/>
      <w:szCs w:val="20"/>
    </w:rPr>
  </w:style>
  <w:style w:type="paragraph" w:styleId="Textpoznmkypodiarou">
    <w:name w:val="footnote text"/>
    <w:aliases w:val="Text poznámky pod čiarou 007,Text poznámky pod eiarou 007,_Poznámka pod čiarou,Text poznámky pod èiarou 007,Stinking Styles2,Tekst przypisu- dokt,Char Char Char Char Char Char Char Char Char Char Char,Char Char Ch,o,Car,Char4"/>
    <w:basedOn w:val="Normlny"/>
    <w:link w:val="TextpoznmkypodiarouChar"/>
    <w:uiPriority w:val="99"/>
    <w:semiHidden/>
    <w:rsid w:val="007900C1"/>
    <w:rPr>
      <w:sz w:val="18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,Stinking Styles2 Char,Tekst przypisu- dokt Char,Char Char Ch Char,o Char,Car Char,Char4 Char"/>
    <w:basedOn w:val="Predvolenpsmoodseku"/>
    <w:link w:val="Textpoznmkypodiarou"/>
    <w:uiPriority w:val="99"/>
    <w:semiHidden/>
    <w:rsid w:val="007900C1"/>
    <w:rPr>
      <w:rFonts w:ascii="Times New Roman" w:eastAsia="Times New Roman" w:hAnsi="Times New Roman" w:cs="Times New Roman"/>
      <w:sz w:val="18"/>
      <w:szCs w:val="20"/>
    </w:rPr>
  </w:style>
  <w:style w:type="character" w:styleId="slostrany">
    <w:name w:val="page number"/>
    <w:basedOn w:val="Predvolenpsmoodseku"/>
    <w:semiHidden/>
    <w:rsid w:val="007900C1"/>
    <w:rPr>
      <w:sz w:val="22"/>
    </w:rPr>
  </w:style>
  <w:style w:type="paragraph" w:styleId="Odsekzoznamu">
    <w:name w:val="List Paragraph"/>
    <w:aliases w:val="body,Odsek zoznamu2,List Paragraph,Listenabsatz"/>
    <w:basedOn w:val="Normlny"/>
    <w:link w:val="OdsekzoznamuChar"/>
    <w:uiPriority w:val="34"/>
    <w:qFormat/>
    <w:rsid w:val="007900C1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7900C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900C1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900C1"/>
    <w:rPr>
      <w:rFonts w:ascii="Times New Roman" w:eastAsia="Times New Roman" w:hAnsi="Times New Roman" w:cs="Times New Roman"/>
      <w:sz w:val="20"/>
      <w:szCs w:val="20"/>
    </w:rPr>
  </w:style>
  <w:style w:type="table" w:styleId="Mriekatabuky">
    <w:name w:val="Table Grid"/>
    <w:basedOn w:val="Normlnatabuka"/>
    <w:uiPriority w:val="59"/>
    <w:rsid w:val="007900C1"/>
    <w:pPr>
      <w:spacing w:after="0" w:line="240" w:lineRule="auto"/>
    </w:pPr>
    <w:rPr>
      <w:rFonts w:ascii="Tms Rmn" w:eastAsia="Times New Roman" w:hAnsi="Tms Rm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Stinking Styles1,Footnote reference number,Times 10 Point,Exposant 3 Point,Ref,de nota al pie,note TESI,SUPERS,EN Footnote text,EN Footnote Refe,FRef ISO,PGI Fußnote Ziffer,Footnotes refss,ftref"/>
    <w:uiPriority w:val="99"/>
    <w:semiHidden/>
    <w:rsid w:val="007900C1"/>
    <w:rPr>
      <w:rFonts w:cs="Times New Roman"/>
      <w:vertAlign w:val="superscript"/>
    </w:rPr>
  </w:style>
  <w:style w:type="character" w:customStyle="1" w:styleId="OdsekzoznamuChar">
    <w:name w:val="Odsek zoznamu Char"/>
    <w:aliases w:val="body Char,Odsek zoznamu2 Char,List Paragraph Char,Listenabsatz Char"/>
    <w:link w:val="Odsekzoznamu"/>
    <w:uiPriority w:val="34"/>
    <w:locked/>
    <w:rsid w:val="007900C1"/>
    <w:rPr>
      <w:rFonts w:ascii="Times New Roman" w:eastAsia="Times New Roman" w:hAnsi="Times New Roman" w:cs="Times New Roman"/>
      <w:szCs w:val="20"/>
    </w:rPr>
  </w:style>
  <w:style w:type="character" w:styleId="Zstupntext">
    <w:name w:val="Placeholder Text"/>
    <w:basedOn w:val="Predvolenpsmoodseku"/>
    <w:uiPriority w:val="99"/>
    <w:semiHidden/>
    <w:rsid w:val="007900C1"/>
    <w:rPr>
      <w:color w:val="80808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91D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91D6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991D6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91D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91D6C"/>
    <w:rPr>
      <w:rFonts w:ascii="Segoe UI" w:eastAsia="Times New Roman" w:hAnsi="Segoe UI" w:cs="Segoe U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9D7016"/>
    <w:rPr>
      <w:rFonts w:ascii="Calibri" w:eastAsia="Times New Roman" w:hAnsi="Calibri"/>
      <w:sz w:val="20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9D7016"/>
    <w:pPr>
      <w:spacing w:after="0" w:line="240" w:lineRule="auto"/>
    </w:pPr>
    <w:rPr>
      <w:rFonts w:ascii="Calibri" w:eastAsia="Times New Roman" w:hAnsi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9D7016"/>
  </w:style>
  <w:style w:type="character" w:styleId="Zvraznenie">
    <w:name w:val="Emphasis"/>
    <w:basedOn w:val="Predvolenpsmoodseku"/>
    <w:uiPriority w:val="20"/>
    <w:qFormat/>
    <w:rsid w:val="009D7016"/>
    <w:rPr>
      <w:i/>
      <w:iCs/>
    </w:rPr>
  </w:style>
  <w:style w:type="paragraph" w:customStyle="1" w:styleId="Default">
    <w:name w:val="Default"/>
    <w:rsid w:val="00D80A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Deloittetable21">
    <w:name w:val="Deloitte table 21"/>
    <w:basedOn w:val="Normlnatabuka"/>
    <w:rsid w:val="00D80A8E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 w:cs="Arial" w:hint="default"/>
        <w:b/>
        <w:color w:val="FFFFFF"/>
        <w:sz w:val="19"/>
        <w:szCs w:val="19"/>
      </w:rPr>
      <w:tblPr/>
      <w:tcPr>
        <w:shd w:val="clear" w:color="auto" w:fill="00A1DE"/>
      </w:tcPr>
    </w:tblStylePr>
    <w:tblStylePr w:type="firstCol">
      <w:rPr>
        <w:rFonts w:ascii="Arial" w:hAnsi="Arial" w:cs="Arial" w:hint="default"/>
        <w:sz w:val="19"/>
        <w:szCs w:val="19"/>
      </w:rPr>
    </w:tblStylePr>
  </w:style>
  <w:style w:type="paragraph" w:styleId="Normlnywebov">
    <w:name w:val="Normal (Web)"/>
    <w:basedOn w:val="Normlny"/>
    <w:uiPriority w:val="99"/>
    <w:semiHidden/>
    <w:unhideWhenUsed/>
    <w:rsid w:val="00F64E2F"/>
    <w:pPr>
      <w:spacing w:before="100" w:beforeAutospacing="1" w:after="100" w:afterAutospacing="1"/>
    </w:pPr>
    <w:rPr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6F2FC.E4E93F20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9C14B-D8DD-4AFA-90AB-294F894A5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</dc:creator>
  <cp:lastModifiedBy>Roman Hraška</cp:lastModifiedBy>
  <cp:revision>30</cp:revision>
  <cp:lastPrinted>2020-12-08T07:52:00Z</cp:lastPrinted>
  <dcterms:created xsi:type="dcterms:W3CDTF">2019-06-25T10:49:00Z</dcterms:created>
  <dcterms:modified xsi:type="dcterms:W3CDTF">2021-02-10T07:54:00Z</dcterms:modified>
</cp:coreProperties>
</file>